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E36730"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 w14:paraId="52A03AFA"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 w14:paraId="30E62320"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 w14:paraId="37BD2BF7"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</w:p>
    <w:p w14:paraId="1CEC77E9">
      <w:pPr>
        <w:jc w:val="center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上海市民用核能产业统计</w:t>
      </w:r>
    </w:p>
    <w:p w14:paraId="6E7C2A61">
      <w:pPr>
        <w:jc w:val="center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数据填报手册</w:t>
      </w:r>
    </w:p>
    <w:p w14:paraId="2FFB6417">
      <w:pPr>
        <w:rPr>
          <w:rFonts w:hint="eastAsia"/>
          <w:lang w:val="en-US" w:eastAsia="zh-CN"/>
        </w:rPr>
      </w:pPr>
    </w:p>
    <w:p w14:paraId="494F0EC1">
      <w:pPr>
        <w:rPr>
          <w:rFonts w:hint="eastAsia"/>
          <w:lang w:val="en-US" w:eastAsia="zh-CN"/>
        </w:rPr>
      </w:pPr>
    </w:p>
    <w:p w14:paraId="1139900E">
      <w:pPr>
        <w:rPr>
          <w:rFonts w:hint="eastAsia"/>
          <w:lang w:val="en-US" w:eastAsia="zh-CN"/>
        </w:rPr>
      </w:pPr>
    </w:p>
    <w:p w14:paraId="260A7725">
      <w:pPr>
        <w:rPr>
          <w:rFonts w:hint="eastAsia"/>
          <w:lang w:val="en-US" w:eastAsia="zh-CN"/>
        </w:rPr>
      </w:pPr>
    </w:p>
    <w:p w14:paraId="21BB789B">
      <w:pPr>
        <w:rPr>
          <w:rFonts w:hint="eastAsia"/>
          <w:lang w:val="en-US" w:eastAsia="zh-CN"/>
        </w:rPr>
      </w:pPr>
    </w:p>
    <w:p w14:paraId="06F096A7">
      <w:pPr>
        <w:rPr>
          <w:rFonts w:hint="eastAsia"/>
          <w:lang w:val="en-US" w:eastAsia="zh-CN"/>
        </w:rPr>
      </w:pPr>
    </w:p>
    <w:p w14:paraId="25A44AF7">
      <w:pPr>
        <w:rPr>
          <w:rFonts w:hint="eastAsia"/>
          <w:lang w:val="en-US" w:eastAsia="zh-CN"/>
        </w:rPr>
      </w:pPr>
    </w:p>
    <w:p w14:paraId="37E91892">
      <w:pPr>
        <w:rPr>
          <w:rFonts w:hint="eastAsia"/>
          <w:lang w:val="en-US" w:eastAsia="zh-CN"/>
        </w:rPr>
      </w:pPr>
    </w:p>
    <w:p w14:paraId="32C52638">
      <w:pPr>
        <w:rPr>
          <w:rFonts w:hint="eastAsia"/>
          <w:lang w:val="en-US" w:eastAsia="zh-CN"/>
        </w:rPr>
      </w:pPr>
    </w:p>
    <w:p w14:paraId="38E79B7E">
      <w:pPr>
        <w:rPr>
          <w:rFonts w:hint="eastAsia"/>
          <w:lang w:val="en-US" w:eastAsia="zh-CN"/>
        </w:rPr>
      </w:pPr>
    </w:p>
    <w:p w14:paraId="55F5EBF5">
      <w:pPr>
        <w:rPr>
          <w:rFonts w:hint="eastAsia"/>
          <w:lang w:val="en-US" w:eastAsia="zh-CN"/>
        </w:rPr>
      </w:pPr>
    </w:p>
    <w:p w14:paraId="01255A42">
      <w:pPr>
        <w:rPr>
          <w:rFonts w:hint="eastAsia"/>
          <w:lang w:val="en-US" w:eastAsia="zh-CN"/>
        </w:rPr>
      </w:pPr>
    </w:p>
    <w:p w14:paraId="79071494">
      <w:pPr>
        <w:rPr>
          <w:rFonts w:hint="eastAsia"/>
          <w:lang w:val="en-US" w:eastAsia="zh-CN"/>
        </w:rPr>
      </w:pPr>
    </w:p>
    <w:p w14:paraId="30D7373B">
      <w:pPr>
        <w:rPr>
          <w:rFonts w:hint="eastAsia"/>
          <w:lang w:val="en-US" w:eastAsia="zh-CN"/>
        </w:rPr>
      </w:pPr>
    </w:p>
    <w:p w14:paraId="3EB9E35A">
      <w:pPr>
        <w:rPr>
          <w:rFonts w:hint="eastAsia"/>
          <w:lang w:val="en-US" w:eastAsia="zh-CN"/>
        </w:rPr>
      </w:pPr>
    </w:p>
    <w:p w14:paraId="76C09058">
      <w:pPr>
        <w:rPr>
          <w:rFonts w:hint="eastAsia"/>
          <w:lang w:val="en-US" w:eastAsia="zh-CN"/>
        </w:rPr>
      </w:pPr>
    </w:p>
    <w:p w14:paraId="1583A686">
      <w:pPr>
        <w:rPr>
          <w:rFonts w:hint="eastAsia"/>
          <w:lang w:val="en-US" w:eastAsia="zh-CN"/>
        </w:rPr>
      </w:pPr>
    </w:p>
    <w:p w14:paraId="79001BF6">
      <w:pPr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上海市核电办公室</w:t>
      </w:r>
    </w:p>
    <w:p w14:paraId="4776DD0E">
      <w:pPr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2024年12月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369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</w:sdtEndPr>
      <w:sdtContent>
        <w:p w14:paraId="36F2BD8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hint="eastAsia" w:ascii="黑体" w:hAnsi="黑体" w:eastAsia="黑体" w:cs="黑体"/>
              <w:sz w:val="44"/>
              <w:szCs w:val="44"/>
            </w:rPr>
            <w:t>目录</w:t>
          </w:r>
        </w:p>
        <w:p w14:paraId="64DDF33B">
          <w:pPr>
            <w:pStyle w:val="4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instrText xml:space="preserve">TOC \o "1-3" \h \u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instrText xml:space="preserve"> HYPERLINK \l _Toc31554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t xml:space="preserve">一、 </w:t>
          </w:r>
          <w:r>
            <w:rPr>
              <w:rFonts w:hint="eastAsia" w:ascii="华文仿宋" w:hAnsi="华文仿宋" w:eastAsia="华文仿宋" w:cs="华文仿宋"/>
              <w:bCs/>
              <w:sz w:val="28"/>
              <w:szCs w:val="28"/>
              <w:lang w:val="en-US" w:eastAsia="zh-CN"/>
            </w:rPr>
            <w:t>系统访问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PAGEREF _Toc31554 \h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1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end"/>
          </w:r>
        </w:p>
        <w:p w14:paraId="167418E7">
          <w:pPr>
            <w:pStyle w:val="4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instrText xml:space="preserve"> HYPERLINK \l _Toc8380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 w:val="28"/>
              <w:szCs w:val="28"/>
              <w:lang w:val="en-US" w:eastAsia="zh-CN"/>
            </w:rPr>
            <w:t>二、 登录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PAGEREF _Toc8380 \h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1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end"/>
          </w:r>
        </w:p>
        <w:p w14:paraId="6CF8E988">
          <w:pPr>
            <w:pStyle w:val="4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instrText xml:space="preserve"> HYPERLINK \l _Toc3969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 w:val="28"/>
              <w:szCs w:val="28"/>
              <w:lang w:val="en-US" w:eastAsia="zh-CN"/>
            </w:rPr>
            <w:t>三、 个人中心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PAGEREF _Toc3969 \h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2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end"/>
          </w:r>
        </w:p>
        <w:p w14:paraId="2E66C8C3">
          <w:pPr>
            <w:pStyle w:val="4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instrText xml:space="preserve"> HYPERLINK \l _Toc9997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 w:val="28"/>
              <w:szCs w:val="28"/>
              <w:lang w:val="en-US" w:eastAsia="zh-CN"/>
            </w:rPr>
            <w:t>四、 报表制度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PAGEREF _Toc9997 \h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3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end"/>
          </w:r>
        </w:p>
        <w:p w14:paraId="65FD76DF">
          <w:pPr>
            <w:pStyle w:val="4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instrText xml:space="preserve"> HYPERLINK \l _Toc28807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 w:val="28"/>
              <w:szCs w:val="28"/>
              <w:lang w:val="en-US" w:eastAsia="zh-CN"/>
            </w:rPr>
            <w:t>五、 数据填报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instrText xml:space="preserve"> PAGEREF _Toc28807 \h </w:instrTex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t>3</w:t>
          </w:r>
          <w:r>
            <w:rPr>
              <w:rFonts w:hint="eastAsia" w:ascii="华文仿宋" w:hAnsi="华文仿宋" w:eastAsia="华文仿宋" w:cs="华文仿宋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end"/>
          </w:r>
        </w:p>
        <w:p w14:paraId="206FCCE0">
          <w:pPr>
            <w:jc w:val="center"/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华文仿宋" w:hAnsi="华文仿宋" w:eastAsia="华文仿宋" w:cs="华文仿宋"/>
              <w:sz w:val="28"/>
              <w:szCs w:val="28"/>
              <w:lang w:val="en-US" w:eastAsia="zh-CN"/>
            </w:rPr>
            <w:fldChar w:fldCharType="end"/>
          </w:r>
        </w:p>
      </w:sdtContent>
    </w:sdt>
    <w:p w14:paraId="624B9665">
      <w:pPr>
        <w:jc w:val="center"/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5" w:name="_GoBack"/>
      <w:bookmarkEnd w:id="5"/>
    </w:p>
    <w:p w14:paraId="1B78FA5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0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0" w:name="_Toc31554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系统访问</w:t>
      </w:r>
      <w:bookmarkEnd w:id="0"/>
    </w:p>
    <w:p w14:paraId="37B77F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打开浏览器（建议Chrome/360/Firefox/Edge等高版本浏览器），在地址栏输入以下地址并回车：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"https://www.smnpo.cn/"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28"/>
          <w:szCs w:val="28"/>
        </w:rPr>
        <w:t>https://www.smnpo.cn/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，点击左侧悬浮窗进入数据填报系统。</w:t>
      </w:r>
    </w:p>
    <w:p w14:paraId="0E5A74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39310" cy="2407285"/>
            <wp:effectExtent l="0" t="0" r="8890" b="571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rcRect r="5959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8ADF"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41925" cy="211010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2888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AE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出现上方页面即表示访问成功。在该页面，有系统使用的简单步骤，引导使用人员快速进入。</w:t>
      </w:r>
    </w:p>
    <w:p w14:paraId="7C2241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0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1" w:name="_Toc8380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登录</w:t>
      </w:r>
      <w:bookmarkEnd w:id="1"/>
    </w:p>
    <w:p w14:paraId="3F87E5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点击“账户登录”菜单项，进入登录页面。</w:t>
      </w:r>
    </w:p>
    <w:p w14:paraId="4A8FDDE4"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63515" cy="22777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232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5E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输入企业账号和登录密码，填写验证表，点击“登录”。</w:t>
      </w:r>
    </w:p>
    <w:p w14:paraId="7FFCBD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注：企业账号为统一社会信用代码。</w:t>
      </w:r>
    </w:p>
    <w:p w14:paraId="4101A2E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0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2" w:name="_Toc3969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个人中心</w:t>
      </w:r>
      <w:bookmarkEnd w:id="2"/>
    </w:p>
    <w:p w14:paraId="6C2FA9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首次登录成功后，建议自行修改密码，并牢记密码。</w:t>
      </w:r>
    </w:p>
    <w:p w14:paraId="47E83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登录成功的用户，右上角①企业名称、②退出；点击“退出”即结束登录，退出系统；点击&lt;企业名称&gt;可进入用户个人中心，查看账号登录情况，以及修改密码。</w:t>
      </w:r>
    </w:p>
    <w:p w14:paraId="3F490764"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63515" cy="2201545"/>
            <wp:effectExtent l="0" t="0" r="1333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2580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B5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点击“修改密码”，分别输入旧密码、新密码、确认密码，验证通过后完成密码修改。</w:t>
      </w:r>
    </w:p>
    <w:p w14:paraId="4DA576FC"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63515" cy="1967865"/>
            <wp:effectExtent l="0" t="0" r="1333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3368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B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注：新密码设置需要满足复杂度要求，需包含大写字母、小写字母、数字、特殊字符中的至少三种，长度不低于8位。</w:t>
      </w:r>
    </w:p>
    <w:p w14:paraId="737D530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0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3" w:name="_Toc9997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报表制度</w:t>
      </w:r>
      <w:bookmarkEnd w:id="3"/>
    </w:p>
    <w:p w14:paraId="74AAA8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点击菜单“报表制度”，可查看最新的报表制度，制度里有第五部分“数据填报”报表内容的详细解读，帮助用户更好填报！</w:t>
      </w:r>
    </w:p>
    <w:p w14:paraId="5EBD0B40"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63515" cy="2967355"/>
            <wp:effectExtent l="0" t="0" r="1333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3858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outlineLvl w:val="0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4" w:name="_Toc28807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数据填报</w:t>
      </w:r>
      <w:bookmarkEnd w:id="4"/>
    </w:p>
    <w:p w14:paraId="5B6A1B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点击菜单“数据填报”，即进入填报列表，如下图所示。</w:t>
      </w:r>
    </w:p>
    <w:p w14:paraId="67567848">
      <w:p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63515" cy="2326005"/>
            <wp:effectExtent l="0" t="0" r="13335" b="1714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71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该列表页，主要包含三部分：</w:t>
      </w:r>
    </w:p>
    <w:p w14:paraId="434C1B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①查询部分：系统内置“统计年度”、“报表类别”两个查询筛选项，帮助用户快速过滤填报内容；</w:t>
      </w:r>
    </w:p>
    <w:p w14:paraId="6782C7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②数据部分：凡是保存/提交过的填报，都会显示于该区域。可点击“预览”进行填报数据查看，若是“暂存”数据，则可以编辑和删除。</w:t>
      </w:r>
    </w:p>
    <w:p w14:paraId="7FE7C2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③操作部分：“我要填报”是数据填报入口，点击后可选择填报的数据年度和类别（年报、半年报），根据填报所处的阶段不同，该部分内容会动态变换。</w:t>
      </w:r>
    </w:p>
    <w:p w14:paraId="433F8CC5">
      <w:p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63515" cy="1844040"/>
            <wp:effectExtent l="0" t="0" r="1333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2B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比如点击“2024年年报”，进入年报内容填写页面，如下图所示，按照表格内容要求填写即可，完成后点击“暂存”或“提交”。</w:t>
      </w:r>
    </w:p>
    <w:p w14:paraId="24362C68">
      <w:p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63515" cy="2967355"/>
            <wp:effectExtent l="0" t="0" r="1333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D0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注：“暂存”一般为数据填写未完成，暂时保存，后续需再修改或待确认；确认填报数据无误后可点击“提交”。如有特殊情况，企业可在审核前撤回表单，重新填报。</w:t>
      </w:r>
    </w:p>
    <w:p w14:paraId="3B2D4C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②根据报表制度要求，年报、半年报填报内容是存在差异的，如有填报项编号不连续或缺失问题，是正常现象。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15BB7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6AFAC7">
                          <w:pPr>
                            <w:pStyle w:val="2"/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6AFAC7">
                    <w:pPr>
                      <w:pStyle w:val="2"/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</w:pP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5D1595"/>
    <w:multiLevelType w:val="singleLevel"/>
    <w:tmpl w:val="995D159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952AB"/>
    <w:rsid w:val="009A7605"/>
    <w:rsid w:val="014001AC"/>
    <w:rsid w:val="035E2B6B"/>
    <w:rsid w:val="03C52BEB"/>
    <w:rsid w:val="04554362"/>
    <w:rsid w:val="058C7E64"/>
    <w:rsid w:val="070B300A"/>
    <w:rsid w:val="07504EC1"/>
    <w:rsid w:val="092469AB"/>
    <w:rsid w:val="09EC7123"/>
    <w:rsid w:val="0A2A19F9"/>
    <w:rsid w:val="0A4A209B"/>
    <w:rsid w:val="0A894972"/>
    <w:rsid w:val="0C012C2E"/>
    <w:rsid w:val="0C605BA6"/>
    <w:rsid w:val="0CA40DCE"/>
    <w:rsid w:val="0ED63EFE"/>
    <w:rsid w:val="0F452E31"/>
    <w:rsid w:val="0F955B67"/>
    <w:rsid w:val="0FF7006C"/>
    <w:rsid w:val="11E42DD6"/>
    <w:rsid w:val="12E34E3B"/>
    <w:rsid w:val="12F157AA"/>
    <w:rsid w:val="14883EEC"/>
    <w:rsid w:val="156A1844"/>
    <w:rsid w:val="15DD3DC4"/>
    <w:rsid w:val="15E629C1"/>
    <w:rsid w:val="1697385D"/>
    <w:rsid w:val="187A7FF0"/>
    <w:rsid w:val="18B2778A"/>
    <w:rsid w:val="19D76D7C"/>
    <w:rsid w:val="1BCD30CF"/>
    <w:rsid w:val="1C123283"/>
    <w:rsid w:val="1C35495A"/>
    <w:rsid w:val="1C8909D4"/>
    <w:rsid w:val="1D291FE4"/>
    <w:rsid w:val="1E5D3CF4"/>
    <w:rsid w:val="1F226CEB"/>
    <w:rsid w:val="1F8E199F"/>
    <w:rsid w:val="1FF93EF0"/>
    <w:rsid w:val="20BE320C"/>
    <w:rsid w:val="216952AB"/>
    <w:rsid w:val="21815F4B"/>
    <w:rsid w:val="226B5B06"/>
    <w:rsid w:val="25583467"/>
    <w:rsid w:val="25826736"/>
    <w:rsid w:val="25893620"/>
    <w:rsid w:val="25E20F82"/>
    <w:rsid w:val="268877A1"/>
    <w:rsid w:val="27035654"/>
    <w:rsid w:val="2729330D"/>
    <w:rsid w:val="279C00AF"/>
    <w:rsid w:val="284D1116"/>
    <w:rsid w:val="29157EB4"/>
    <w:rsid w:val="2920604A"/>
    <w:rsid w:val="29E21551"/>
    <w:rsid w:val="2B0379D1"/>
    <w:rsid w:val="2B5E72FD"/>
    <w:rsid w:val="2B6C7C6C"/>
    <w:rsid w:val="2B88437A"/>
    <w:rsid w:val="2BF832AE"/>
    <w:rsid w:val="2CEA52EC"/>
    <w:rsid w:val="2E8C5F2F"/>
    <w:rsid w:val="2EF835C5"/>
    <w:rsid w:val="2F0B779C"/>
    <w:rsid w:val="31061FC9"/>
    <w:rsid w:val="31E71DFA"/>
    <w:rsid w:val="32715B68"/>
    <w:rsid w:val="330E785B"/>
    <w:rsid w:val="38934A8A"/>
    <w:rsid w:val="3B3836C7"/>
    <w:rsid w:val="3B5B5607"/>
    <w:rsid w:val="3B903503"/>
    <w:rsid w:val="3BE360C6"/>
    <w:rsid w:val="3DE47B36"/>
    <w:rsid w:val="3EE36B1F"/>
    <w:rsid w:val="3F475E06"/>
    <w:rsid w:val="3FFD6C8D"/>
    <w:rsid w:val="411B580C"/>
    <w:rsid w:val="45B778DE"/>
    <w:rsid w:val="46244F73"/>
    <w:rsid w:val="47661364"/>
    <w:rsid w:val="49E573CC"/>
    <w:rsid w:val="4A314103"/>
    <w:rsid w:val="4A8561FD"/>
    <w:rsid w:val="4A981A8C"/>
    <w:rsid w:val="4B7324F9"/>
    <w:rsid w:val="4C2061DD"/>
    <w:rsid w:val="4CE216E4"/>
    <w:rsid w:val="4D134330"/>
    <w:rsid w:val="4D9C2B47"/>
    <w:rsid w:val="4E311476"/>
    <w:rsid w:val="4F277882"/>
    <w:rsid w:val="4F561F16"/>
    <w:rsid w:val="505226DD"/>
    <w:rsid w:val="50BB70F7"/>
    <w:rsid w:val="50EA500B"/>
    <w:rsid w:val="519D5BDA"/>
    <w:rsid w:val="51C13FBE"/>
    <w:rsid w:val="520420FD"/>
    <w:rsid w:val="52263473"/>
    <w:rsid w:val="52636E23"/>
    <w:rsid w:val="52F65EE9"/>
    <w:rsid w:val="547A48F8"/>
    <w:rsid w:val="54BC0A6D"/>
    <w:rsid w:val="556F5ADF"/>
    <w:rsid w:val="55801A9A"/>
    <w:rsid w:val="55F14746"/>
    <w:rsid w:val="56B22127"/>
    <w:rsid w:val="582B2191"/>
    <w:rsid w:val="58C223CA"/>
    <w:rsid w:val="59AF294E"/>
    <w:rsid w:val="59FB3DE5"/>
    <w:rsid w:val="5A307F33"/>
    <w:rsid w:val="5A6E0A5B"/>
    <w:rsid w:val="5BF84A80"/>
    <w:rsid w:val="5C761E49"/>
    <w:rsid w:val="5DCD5A99"/>
    <w:rsid w:val="5DEC610D"/>
    <w:rsid w:val="5E021BE6"/>
    <w:rsid w:val="5E565A8E"/>
    <w:rsid w:val="5EAA35A6"/>
    <w:rsid w:val="60522285"/>
    <w:rsid w:val="60F8107F"/>
    <w:rsid w:val="623C31ED"/>
    <w:rsid w:val="63C94F54"/>
    <w:rsid w:val="65CB6D62"/>
    <w:rsid w:val="67C43A10"/>
    <w:rsid w:val="67DC179C"/>
    <w:rsid w:val="6A152CA1"/>
    <w:rsid w:val="6B596BBE"/>
    <w:rsid w:val="6BDA5F51"/>
    <w:rsid w:val="6C8E0AE9"/>
    <w:rsid w:val="6CA87DFD"/>
    <w:rsid w:val="6E241705"/>
    <w:rsid w:val="6EAE7221"/>
    <w:rsid w:val="6FB22D40"/>
    <w:rsid w:val="6FBE16E5"/>
    <w:rsid w:val="6FD25527"/>
    <w:rsid w:val="701916C5"/>
    <w:rsid w:val="705D4A5A"/>
    <w:rsid w:val="71754026"/>
    <w:rsid w:val="7182426A"/>
    <w:rsid w:val="731F693F"/>
    <w:rsid w:val="734737A0"/>
    <w:rsid w:val="74CC21AE"/>
    <w:rsid w:val="77147E3D"/>
    <w:rsid w:val="78C7785D"/>
    <w:rsid w:val="791A3E30"/>
    <w:rsid w:val="798B6ADC"/>
    <w:rsid w:val="79C14E6F"/>
    <w:rsid w:val="7A5769BE"/>
    <w:rsid w:val="7AB55EEC"/>
    <w:rsid w:val="7B0A57DF"/>
    <w:rsid w:val="7B7535A0"/>
    <w:rsid w:val="7B7C0170"/>
    <w:rsid w:val="7BA619AB"/>
    <w:rsid w:val="7D552DC0"/>
    <w:rsid w:val="7D65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868</Words>
  <Characters>917</Characters>
  <Lines>0</Lines>
  <Paragraphs>0</Paragraphs>
  <TotalTime>1</TotalTime>
  <ScaleCrop>false</ScaleCrop>
  <LinksUpToDate>false</LinksUpToDate>
  <CharactersWithSpaces>937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2024-12-23T05:28:00Z</dcterms:created>
  <dc:creator>wathon</dc:creator>
  <cp:lastModifiedBy>TOTO</cp:lastModifiedBy>
  <dcterms:modified xsi:type="dcterms:W3CDTF">2024-12-25T10:32:37Z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F4B6681D2AC440E1B23AAD6C9D66F72E_13</vt:lpwstr>
  </property>
  <property fmtid="{D5CDD505-2E9C-101B-9397-08002B2CF9AE}" pid="4" name="KSOTemplateDocerSaveRecord">
    <vt:lpwstr>eyJoZGlkIjoiMzNlYTdiMGIyMjA3NDcwNjJjMmFiZWRjNDZhMjU0MmQiLCJ1c2VySWQiOiI0MDc4MDA3MjAifQ==</vt:lpwstr>
  </property>
</Properties>
</file>